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5ff157de62d4375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99b2c89eff5a4096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44c4b748bcbd40e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604085bb16646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Solos female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Emanuela CIRULLI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EPIFANI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Miriam DI REDA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Camilla BORDI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Stella GALLINELLI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Carolina ORSATTI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Adriana Maria FILOSCO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Veronica CARPANELLI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Valentina ZITIELLO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Marika LISANTI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Ilenia ABBATE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ALBERGA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Serena PILLAI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ATZORI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Noemi FRAU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Chanel CORDA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CARPENTIERI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RICCITIELLO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Ambra FINATTI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MELONI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CAMPAGNI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FIORENTINO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Nicoletta CARA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PETRICCA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Desy SERAFINI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TOGNETTI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Elettra LOCCI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TEGLIO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 BARONTINI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Gioia MONTANINO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Emilly ACCOGLI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Michelle PALMACCI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Cristina SALVATORI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Denise FLORISSI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Moona JARVINEN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Violante SERAFINI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Amy BENCHEA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BAGNOLI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DROZINA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MAGLIONA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Minttu EILOLA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Emma SANDRIGO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IOANNA EFSTATHIOU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VASILEIA VASILIKI BARDAKTSI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Helmi SILVOLA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ANASTASIA STANTSEV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ATHINA VAVALI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Cristina Sanziana  POPESCU -OLTEANU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Romania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Mamma Mia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Boriana ILIEVSKA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Antonia ALIPERTI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TONCHEI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Lisandra SINKA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Ginevra PANICO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Christine TOPPI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PIRAS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CASTALDO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DE SANTIS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Nunzia PICCOLO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STYLIANI TINELLI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EIRINI CHARALAMPIDOU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LOREFICE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Diletta ZUOLO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Susanna DELCURATOLO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64-71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Cat Woman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Ajna SKOPAK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64-71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BIANCHI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64-71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TOLOMELLI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64-71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Maya MASTROBERARDINO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64-71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MICHAELLA PINELOPI ANAGNOSTOU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64-71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Jive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 KONEVSKI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64-71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PIGADI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64-71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DESPOINA GOUNARI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54 from 71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55-57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55-57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55-57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64-71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26 from 54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12 from 26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7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277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1 1 5 2 5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3 6 4 3 2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611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6 3 7 4 4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5 4 2 5 7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511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4 5 3 6 6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447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7 7 6 7 3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c2186c916064dcd" /><Relationship Type="http://schemas.openxmlformats.org/officeDocument/2006/relationships/footer" Target="/word/footer1.xml" Id="R99b2c89eff5a4096" /><Relationship Type="http://schemas.openxmlformats.org/officeDocument/2006/relationships/image" Target="/media/image.jpg" Id="R44c4b748bcbd40ed" /><Relationship Type="http://schemas.openxmlformats.org/officeDocument/2006/relationships/image" Target="/media/image2.jpg" Id="R6604085bb1664694" /></Relationships>
</file>