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eb1e2f6e0e0438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0aa9a8610d6499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fb5837eddaf449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06929a960e144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Duos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Simone 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Gianfrate,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Garri, Marianthi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Kofina,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OIKONOMOU, NIKOLETA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VAFIDOU, ELENI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MARIA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THEMIDA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CHRISTOPOULOU , ELENI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THEOLOGI, FOULA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KONTOU, MELPOMENI EFRAIMIA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KORAKA, EVANGELIA KONITSA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KOUTALAKI, PARASKEVI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TONGKOURI , NEFELI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4 3 2 3 2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2 4 3 2 6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3 5 4 6 4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6 2 5 4 5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216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5 6 6 5 3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542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7 7 7 7 7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5ece4ab644f4a9e" /><Relationship Type="http://schemas.openxmlformats.org/officeDocument/2006/relationships/footer" Target="/word/footer1.xml" Id="Rd0aa9a8610d64995" /><Relationship Type="http://schemas.openxmlformats.org/officeDocument/2006/relationships/image" Target="/media/image.jpg" Id="R5fb5837eddaf449f" /><Relationship Type="http://schemas.openxmlformats.org/officeDocument/2006/relationships/image" Target="/media/image2.jpg" Id="R006929a960e14413" /></Relationships>
</file>